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64D92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2023年度宜春开放大学绩效自评总报告</w:t>
      </w:r>
    </w:p>
    <w:p w14:paraId="3E91E9E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  <w:t>一、本部门项目绩效目标情况</w:t>
      </w:r>
    </w:p>
    <w:p w14:paraId="66C07FC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（一）2023年宜春开放大学校园安全经费</w:t>
      </w:r>
    </w:p>
    <w:p w14:paraId="1917784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alibri" w:hAnsi="Calibri" w:eastAsia="仿宋_GB2312" w:cs="Times New Roman"/>
          <w:color w:val="000000"/>
          <w:kern w:val="2"/>
          <w:sz w:val="32"/>
          <w:szCs w:val="30"/>
          <w:lang w:val="en-US" w:eastAsia="zh-CN" w:bidi="ar-SA"/>
        </w:rPr>
      </w:pPr>
      <w:r>
        <w:rPr>
          <w:rFonts w:hint="eastAsia" w:ascii="Calibri" w:hAnsi="Calibri" w:eastAsia="仿宋_GB2312" w:cs="Times New Roman"/>
          <w:color w:val="000000"/>
          <w:kern w:val="2"/>
          <w:sz w:val="32"/>
          <w:szCs w:val="30"/>
          <w:lang w:val="en-US" w:eastAsia="zh-CN" w:bidi="ar-SA"/>
        </w:rPr>
        <w:t>为保障学校教育教学有序进行，</w:t>
      </w:r>
      <w:r>
        <w:rPr>
          <w:rFonts w:hint="eastAsia" w:eastAsia="仿宋_GB2312" w:cs="Times New Roman"/>
          <w:color w:val="000000"/>
          <w:kern w:val="2"/>
          <w:sz w:val="32"/>
          <w:szCs w:val="30"/>
          <w:lang w:val="en-US" w:eastAsia="zh-CN" w:bidi="ar-SA"/>
        </w:rPr>
        <w:t>维护校园安全和谐</w:t>
      </w:r>
      <w:r>
        <w:rPr>
          <w:rFonts w:hint="eastAsia" w:ascii="Calibri" w:hAnsi="Calibri" w:eastAsia="仿宋_GB2312" w:cs="Times New Roman"/>
          <w:color w:val="000000"/>
          <w:kern w:val="2"/>
          <w:sz w:val="32"/>
          <w:szCs w:val="30"/>
          <w:lang w:val="en-US" w:eastAsia="zh-CN" w:bidi="ar-SA"/>
        </w:rPr>
        <w:t>，</w:t>
      </w:r>
      <w:r>
        <w:rPr>
          <w:rFonts w:hint="eastAsia" w:eastAsia="仿宋_GB2312" w:cs="Times New Roman"/>
          <w:color w:val="000000"/>
          <w:kern w:val="2"/>
          <w:sz w:val="32"/>
          <w:szCs w:val="30"/>
          <w:lang w:val="en-US" w:eastAsia="zh-CN" w:bidi="ar-SA"/>
        </w:rPr>
        <w:t>经学校申请，市财政局安排</w:t>
      </w:r>
      <w:r>
        <w:rPr>
          <w:rFonts w:hint="eastAsia" w:ascii="Calibri" w:hAnsi="Calibri" w:eastAsia="仿宋_GB2312" w:cs="Times New Roman"/>
          <w:color w:val="000000"/>
          <w:kern w:val="2"/>
          <w:sz w:val="32"/>
          <w:szCs w:val="30"/>
          <w:lang w:val="en-US" w:eastAsia="zh-CN" w:bidi="ar-SA"/>
        </w:rPr>
        <w:t>宜春开放大学202</w:t>
      </w:r>
      <w:r>
        <w:rPr>
          <w:rFonts w:hint="eastAsia" w:eastAsia="仿宋_GB2312" w:cs="Times New Roman"/>
          <w:color w:val="000000"/>
          <w:kern w:val="2"/>
          <w:sz w:val="32"/>
          <w:szCs w:val="30"/>
          <w:lang w:val="en-US" w:eastAsia="zh-CN" w:bidi="ar-SA"/>
        </w:rPr>
        <w:t>3</w:t>
      </w:r>
      <w:r>
        <w:rPr>
          <w:rFonts w:hint="eastAsia" w:ascii="Calibri" w:hAnsi="Calibri" w:eastAsia="仿宋_GB2312" w:cs="Times New Roman"/>
          <w:color w:val="000000"/>
          <w:kern w:val="2"/>
          <w:sz w:val="32"/>
          <w:szCs w:val="30"/>
          <w:lang w:val="en-US" w:eastAsia="zh-CN" w:bidi="ar-SA"/>
        </w:rPr>
        <w:t>年校园安全保卫经费</w:t>
      </w:r>
      <w:r>
        <w:rPr>
          <w:rFonts w:hint="eastAsia" w:eastAsia="仿宋_GB2312" w:cs="Times New Roman"/>
          <w:color w:val="000000"/>
          <w:kern w:val="2"/>
          <w:sz w:val="32"/>
          <w:szCs w:val="30"/>
          <w:lang w:val="en-US" w:eastAsia="zh-CN" w:bidi="ar-SA"/>
        </w:rPr>
        <w:t>10万元。</w:t>
      </w:r>
    </w:p>
    <w:p w14:paraId="3A04F6F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  <w:t>1.项目资金投入支出情况</w:t>
      </w:r>
    </w:p>
    <w:p w14:paraId="1A5BFD00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仿宋_GB2312" w:cs="Times New Roman"/>
          <w:color w:val="000000"/>
          <w:kern w:val="2"/>
          <w:sz w:val="32"/>
          <w:szCs w:val="30"/>
          <w:lang w:val="en-US" w:eastAsia="zh-CN" w:bidi="ar-SA"/>
        </w:rPr>
      </w:pPr>
      <w:r>
        <w:rPr>
          <w:rFonts w:hint="eastAsia" w:ascii="Calibri" w:hAnsi="Calibri" w:eastAsia="仿宋_GB2312" w:cs="Times New Roman"/>
          <w:color w:val="000000"/>
          <w:kern w:val="2"/>
          <w:sz w:val="32"/>
          <w:szCs w:val="30"/>
          <w:lang w:val="en-US" w:eastAsia="zh-CN" w:bidi="ar-SA"/>
        </w:rPr>
        <w:t>202</w:t>
      </w:r>
      <w:r>
        <w:rPr>
          <w:rFonts w:hint="eastAsia" w:ascii="Calibri" w:cs="Times New Roman"/>
          <w:color w:val="000000"/>
          <w:kern w:val="2"/>
          <w:sz w:val="32"/>
          <w:szCs w:val="30"/>
          <w:lang w:val="en-US" w:eastAsia="zh-CN" w:bidi="ar-SA"/>
        </w:rPr>
        <w:t>3</w:t>
      </w:r>
      <w:r>
        <w:rPr>
          <w:rFonts w:hint="eastAsia" w:ascii="Calibri" w:hAnsi="Calibri" w:eastAsia="仿宋_GB2312" w:cs="Times New Roman"/>
          <w:color w:val="000000"/>
          <w:kern w:val="2"/>
          <w:sz w:val="32"/>
          <w:szCs w:val="30"/>
          <w:lang w:val="en-US" w:eastAsia="zh-CN" w:bidi="ar-SA"/>
        </w:rPr>
        <w:t>年市财政局下达202</w:t>
      </w:r>
      <w:r>
        <w:rPr>
          <w:rFonts w:hint="eastAsia" w:ascii="Calibri" w:cs="Times New Roman"/>
          <w:color w:val="000000"/>
          <w:kern w:val="2"/>
          <w:sz w:val="32"/>
          <w:szCs w:val="30"/>
          <w:lang w:val="en-US" w:eastAsia="zh-CN" w:bidi="ar-SA"/>
        </w:rPr>
        <w:t>3</w:t>
      </w:r>
      <w:r>
        <w:rPr>
          <w:rFonts w:hint="eastAsia" w:ascii="Calibri" w:hAnsi="Calibri" w:eastAsia="仿宋_GB2312" w:cs="Times New Roman"/>
          <w:color w:val="000000"/>
          <w:kern w:val="2"/>
          <w:sz w:val="32"/>
          <w:szCs w:val="30"/>
          <w:lang w:val="en-US" w:eastAsia="zh-CN" w:bidi="ar-SA"/>
        </w:rPr>
        <w:t>年宜春开放大学校园安全经费10万元，资金于202</w:t>
      </w:r>
      <w:r>
        <w:rPr>
          <w:rFonts w:hint="eastAsia" w:ascii="Calibri" w:cs="Times New Roman"/>
          <w:color w:val="000000"/>
          <w:kern w:val="2"/>
          <w:sz w:val="32"/>
          <w:szCs w:val="30"/>
          <w:lang w:val="en-US" w:eastAsia="zh-CN" w:bidi="ar-SA"/>
        </w:rPr>
        <w:t>3</w:t>
      </w:r>
      <w:r>
        <w:rPr>
          <w:rFonts w:hint="eastAsia" w:ascii="Calibri" w:hAnsi="Calibri" w:eastAsia="仿宋_GB2312" w:cs="Times New Roman"/>
          <w:color w:val="000000"/>
          <w:kern w:val="2"/>
          <w:sz w:val="32"/>
          <w:szCs w:val="30"/>
          <w:lang w:val="en-US" w:eastAsia="zh-CN" w:bidi="ar-SA"/>
        </w:rPr>
        <w:t>年内全部到账，到位率100%。实际支出10万元，完成预算支出100%。开支经费全部用于保安工资及校园零星维修维护，所有费用均已支付到位。</w:t>
      </w:r>
    </w:p>
    <w:p w14:paraId="3A955FB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  <w:t>2.项目资金管理情况</w:t>
      </w:r>
    </w:p>
    <w:p w14:paraId="2C094D6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Calibri" w:hAnsi="Calibri" w:eastAsia="仿宋_GB2312" w:cs="Times New Roman"/>
          <w:color w:val="000000"/>
          <w:kern w:val="2"/>
          <w:sz w:val="32"/>
          <w:szCs w:val="30"/>
          <w:lang w:val="en-US" w:eastAsia="zh-CN" w:bidi="ar-SA"/>
        </w:rPr>
        <w:t>与安保公司签订合同约定保安人员工资，根据学校实际情况，聘请保人人数，没有按时支付保安人员工资。组织认定不定期对校园安全隐患进行排查，及时进行维护维修。本项目经费的使用管理按照国家有关法律、法规和财务制度进行实施，做到了专款专用。经费在实际使用中没有截留、挤</w:t>
      </w:r>
      <w:r>
        <w:rPr>
          <w:rFonts w:hint="eastAsia" w:ascii="仿宋" w:hAnsi="仿宋" w:eastAsia="仿宋" w:cs="仿宋_GB2312"/>
          <w:b w:val="0"/>
          <w:bCs w:val="0"/>
          <w:sz w:val="32"/>
          <w:szCs w:val="40"/>
          <w:lang w:val="en-US" w:eastAsia="zh-CN"/>
        </w:rPr>
        <w:t>占、挪用等情况。</w:t>
      </w:r>
    </w:p>
    <w:p w14:paraId="26E4CCC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  <w:t>3.项目资金绩效情况</w:t>
      </w:r>
    </w:p>
    <w:p w14:paraId="70A62CE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alibri" w:hAnsi="Calibri" w:eastAsia="仿宋_GB2312" w:cs="Times New Roman"/>
          <w:color w:val="000000"/>
          <w:kern w:val="2"/>
          <w:sz w:val="32"/>
          <w:szCs w:val="30"/>
          <w:lang w:val="en-US" w:eastAsia="zh-CN" w:bidi="ar-SA"/>
        </w:rPr>
      </w:pPr>
      <w:r>
        <w:rPr>
          <w:rFonts w:hint="eastAsia" w:ascii="Calibri" w:hAnsi="Calibri" w:eastAsia="仿宋_GB2312" w:cs="Times New Roman"/>
          <w:color w:val="000000"/>
          <w:kern w:val="2"/>
          <w:sz w:val="32"/>
          <w:szCs w:val="30"/>
          <w:lang w:val="en-US" w:eastAsia="zh-CN" w:bidi="ar-SA"/>
        </w:rPr>
        <w:t>2023年宜春开放大学校园安全经费绩效情况是：项目决策指标15分，经评价小组评定为15分，项目过程指标25分，经评价小组评定为25分，产出指标计60分，经评价小组评定为57分，合计97分。评价小组认为：宜春开放大学校园安全经费项目基本完成绩效目标，绩效评价得分97分，绩效评价等级为优。</w:t>
      </w:r>
    </w:p>
    <w:p w14:paraId="1A22E0C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  <w:t>二、单位自评工作开展情况</w:t>
      </w:r>
    </w:p>
    <w:p w14:paraId="3D1816D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（一）压实</w:t>
      </w:r>
      <w:r>
        <w:rPr>
          <w:rFonts w:hint="eastAsia" w:ascii="楷体" w:hAnsi="楷体" w:eastAsia="楷体" w:cs="楷体"/>
          <w:sz w:val="32"/>
          <w:szCs w:val="32"/>
        </w:rPr>
        <w:t>绩效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主体责任</w:t>
      </w:r>
    </w:p>
    <w:p w14:paraId="399ECCD3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作为监控主体，我校将绩效监控作为全过程预算绩效管理的重要环节，认真贯彻落实《中共宜春市委 宜春市人民政府印发&lt;关于全面实施预算绩效管理的实施意见&gt;的通知》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成立了绩效运行监控工作领导小组，小组办公室设在学校党政办，全面负责绩效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运行监控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积极组织人员参加由财政部门举办的预算绩效管理、预算管理一体化系统、绩效目标管理等一系列培训，不断强化思想认识，树立绩效理念，压实和履行监控的主体责任。</w:t>
      </w:r>
    </w:p>
    <w:p w14:paraId="7EE6677E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强化绩效监控措施</w:t>
      </w:r>
    </w:p>
    <w:p w14:paraId="69B2ECC2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要求对照批复的绩效目标，结合项目基本情况、项目资金投入和使用情况等，通过目标比较法与定量分析法相结合的方式，将绩效目标实现情况与预算执行情况、预算绩效目标进行比较分析，形成项目支出绩效跟踪报告。按照“谁支出、谁监控”原则，组织项目实施处室对照绩效目标，对所负责预算批复的项目绩效目标完成情况进行监控。</w:t>
      </w:r>
    </w:p>
    <w:p w14:paraId="5AB4DE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增强绩效监控质效</w:t>
      </w:r>
    </w:p>
    <w:p w14:paraId="0F70B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对我校2023年度部门整体预算、所有项目支出和管理的转移支付资金开展“双监控”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认真填写绩效完成情况分析表，对监控中发现的执行偏差原因进行分析，对绩效目标完成情况进行预计，将绩效监控结果作为年度预算调整、下年预算安排的重要参考。</w:t>
      </w:r>
    </w:p>
    <w:p w14:paraId="794E904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  <w:t>三、综合评价结论</w:t>
      </w:r>
    </w:p>
    <w:p w14:paraId="7FEDA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市财政局年初批复预算2045.27万元，年中追加预算13.46万元，合计2058.73万元，其中一般公共预算财政拨款412.33万元，事业收入1659.86万元。实际使用预算资金1656.33万元，其中一般公共预算财政拨款412.33万元，事业收入1244.00万元，预算执行率80.45%。批复我校财政项目支出共计10万元，其中2023年宜春开放大学校园安全经费10万元。根据要求，对以上项目支出进行绩效跟踪，校园安全经费跟踪期执行数为10万元，执行率为100%。</w:t>
      </w:r>
    </w:p>
    <w:p w14:paraId="48B62C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综上所述，我校2023年财政项目绩效目标基本实现，绩效运行监控任务基本达成。</w:t>
      </w:r>
    </w:p>
    <w:p w14:paraId="3A03D08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  <w:t>四、绩效目标完成情况总体分析</w:t>
      </w:r>
    </w:p>
    <w:p w14:paraId="56FAA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绩效评价工作，各部门负责组织开展绩效自评，成立绩效评价工作小组，制定评价方案，设计评价指标。通过自评，我校在业务管理方面有了一定的经验，在工作管理的情况较好，各项管理制度比较健全，自评价总得分为95分，评价结论为“优”。</w:t>
      </w:r>
    </w:p>
    <w:p w14:paraId="607CAADE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  <w:t>（一）履职完成情况（45分，得40分）</w:t>
      </w:r>
    </w:p>
    <w:p w14:paraId="63A6E86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  <w:t>1.数量指标执行情况到位。20分</w:t>
      </w:r>
    </w:p>
    <w:p w14:paraId="45BA93E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（1）开放教育招生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有增长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。2023年全市开放教育招生达3683人，其中校本部招生1334人，较去年同期增幅达25%。该项指标得10分。</w:t>
      </w:r>
    </w:p>
    <w:p w14:paraId="72ECF95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（2）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高职招生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全省排首位。在巩固开放教育的基础上，学校力争高职扩招份额，与宜春幼专、江西农业工程职业学院开展合作办学，招收高职学员351名，高职扩招在校生人数位列全省系统首位。该项指标得5分。</w:t>
      </w:r>
    </w:p>
    <w:p w14:paraId="67BA2B3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3）以办学评估促规范、促建设、促改革、创特色，深化“治招、治学、治考”。努力构建“三员一班”综合育人体系，探索“专业链+职业链”育人机制，打造“一平台+四课堂”育人载体。高标准推动毕业生就业工作，就业去向落实率为85.4%，居全省开大系统市级分校首位。该项指标得5分。</w:t>
      </w:r>
    </w:p>
    <w:p w14:paraId="6A745594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  <w:t>2.质量指标完成情况。10分</w:t>
      </w:r>
    </w:p>
    <w:p w14:paraId="1DAA736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（1）全力推进办学评估迎检，以“治招、治学、治考”为抓手，开展开放教育7项专项整治工作，协同推进补短板、强弱项，凝练办学特色，以评促建。该项指标得2分。</w:t>
      </w:r>
    </w:p>
    <w:p w14:paraId="5F9F099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2）推动建立全面提升教育教学质量的长效机制，出台《宜春开放大学开放教育招生宣传工作管理办法》《宜春开放大学听评课实施办法》等系列制度；对业务系统进行改造升级，实现了学习资源的精准推送，更新试题400余套涵盖39个专业。该项指标得3分。</w:t>
      </w:r>
    </w:p>
    <w:p w14:paraId="102EF90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（3）严格规范考试的组织实施，对全市9个县级考点进行全覆盖巡考，有力促进各考点考风考纪的扭转。该项指标得5分。</w:t>
      </w:r>
    </w:p>
    <w:p w14:paraId="22FEB31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时效指标完成情况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分。</w:t>
      </w:r>
    </w:p>
    <w:p w14:paraId="2A53AAC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内涵建设取得新成效。聚焦主责主业，扎实开展“三比三争”活动，对标对表做细做实市综合考核各项指标任务，根据重点任务编制具体施工图，严格落实过程管理。开展线上线下“双轨教学”，组织形式多样的实训、研学活动，做好“一网一平台”学习支持服务；建立网上教学行为数据定期通报机制，全市系统网上教学行为数据显著提高。在开放大学系统招生规模总体下滑的形势下，主动靠前服务，紧贴我市产业所需，以抢抓生源为关键，对接市委组织部、市教体局及行业、企业协会，为村（社区）“两委”干部、乡村教师、企业员工提供学历提升。该项指标得10分。</w:t>
      </w:r>
    </w:p>
    <w:p w14:paraId="4CE17730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  <w:t>（二）履职效果情况（35分，得35分）</w:t>
      </w:r>
    </w:p>
    <w:p w14:paraId="6044361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5"/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15"/>
          <w:rFonts w:hint="eastAsia" w:ascii="仿宋" w:hAnsi="仿宋" w:cs="仿宋"/>
          <w:sz w:val="32"/>
          <w:szCs w:val="32"/>
        </w:rPr>
        <w:t>1</w:t>
      </w:r>
      <w:r>
        <w:rPr>
          <w:rStyle w:val="15"/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Style w:val="15"/>
          <w:rFonts w:hint="eastAsia" w:ascii="仿宋" w:hAnsi="仿宋" w:cs="仿宋"/>
          <w:sz w:val="32"/>
          <w:szCs w:val="32"/>
        </w:rPr>
        <w:t>经济效益方面</w:t>
      </w:r>
      <w:r>
        <w:rPr>
          <w:rStyle w:val="15"/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Style w:val="15"/>
          <w:rFonts w:hint="eastAsia" w:ascii="仿宋" w:hAnsi="仿宋" w:eastAsia="仿宋" w:cs="仿宋"/>
          <w:sz w:val="32"/>
          <w:szCs w:val="32"/>
          <w:lang w:val="en-US" w:eastAsia="zh-CN"/>
        </w:rPr>
        <w:t>10分</w:t>
      </w:r>
    </w:p>
    <w:p w14:paraId="164923A3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助力乡村振兴和联创联建社区建设，为挂点帮扶村（社区）提供人力和资金帮扶。派出第一书记和驻村工作队员赴高安市灰埠镇山背村，全身心投入乡村振兴工作，协助山背村申请产业项目。脐橙种植项目和黄牛养殖场附属设施项目已经完工并已验收合格，2公里的村组公路修建获批复同意。派出1名青年干部赴铜鼓温泉镇挂职，派出干部均与学校工作脱岗。该项指标得10分。</w:t>
      </w:r>
    </w:p>
    <w:p w14:paraId="0935F4CB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cs="仿宋"/>
          <w:kern w:val="2"/>
          <w:sz w:val="32"/>
          <w:szCs w:val="32"/>
          <w:lang w:val="en-US" w:eastAsia="zh-CN"/>
        </w:rPr>
        <w:t>2、社会效益方面。10分</w:t>
      </w:r>
    </w:p>
    <w:p w14:paraId="1294BBF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扎实做好文明城市创建各项工作，深入开展“千名干部访万家，共创全国文明城”群众满意度提升活动，上门上户开展文明创建、普及垃圾分类、反诈宣传、社区服务等124人次，组织文明、平安志愿者活动20余次。该项指标得5分。</w:t>
      </w:r>
    </w:p>
    <w:p w14:paraId="21AA688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2）与市委组织部、市农业农村局等部门合作，组织实施“村（社区）干部学历提升”“高素质农民培训”“乡村教师学历提升”工程。与市科学院、市国资委等共建“乡村振兴专家师资库”“校企合作培训基地”，联合开展专业技能人才培养。该项指标得5分。</w:t>
      </w:r>
    </w:p>
    <w:p w14:paraId="3797C06A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eastAsia" w:ascii="仿宋" w:hAnsi="仿宋" w:eastAsia="仿宋" w:cs="Arial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 w:val="0"/>
          <w:color w:val="000000"/>
          <w:kern w:val="0"/>
          <w:sz w:val="32"/>
          <w:szCs w:val="32"/>
        </w:rPr>
        <w:t>3.生态效益指标（</w:t>
      </w:r>
      <w:r>
        <w:rPr>
          <w:rFonts w:hint="eastAsia" w:ascii="仿宋" w:hAnsi="仿宋" w:eastAsia="仿宋" w:cs="Arial"/>
          <w:b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b/>
          <w:bCs w:val="0"/>
          <w:color w:val="000000"/>
          <w:kern w:val="0"/>
          <w:sz w:val="32"/>
          <w:szCs w:val="32"/>
        </w:rPr>
        <w:t>分）</w:t>
      </w:r>
    </w:p>
    <w:p w14:paraId="1EFE8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加强廉政风险防范，一体推进“三不腐”，印发《宜春开放大学2023年党风廉政建设和反腐败工作要点》《宜春开放大学2023年党风廉政建设责任书》《宜春开放大学廉政风险点和防控措施》。组织召开教职工警示教育会2次，对学校近年来违纪违法案进行通报，积极发挥以案明纪、以案治本作用，深入推进从严治校。坚持问题导向，从严从实抓好巡察整改工作，巡察反馈36个具体问题涉及的130条整改措施以及书记专题会点出1个具体问题涉及的4条整改措施均按要求整改到位并继续巩固成效，相关退费均已上缴财政。该项指标得5分。</w:t>
      </w:r>
    </w:p>
    <w:p w14:paraId="37F93DD8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eastAsia" w:ascii="仿宋" w:hAnsi="仿宋" w:eastAsia="仿宋" w:cs="Arial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/>
          <w:bCs w:val="0"/>
          <w:color w:val="000000"/>
          <w:kern w:val="0"/>
          <w:sz w:val="32"/>
          <w:szCs w:val="32"/>
          <w:lang w:val="en-US" w:eastAsia="zh-CN"/>
        </w:rPr>
        <w:t>（三）社会满意度及可持续性影响(20分，得20分)</w:t>
      </w:r>
    </w:p>
    <w:p w14:paraId="03AD1A7F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eastAsia" w:ascii="仿宋" w:hAnsi="仿宋" w:eastAsia="仿宋" w:cs="Arial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b/>
          <w:bCs w:val="0"/>
          <w:color w:val="000000"/>
          <w:kern w:val="0"/>
          <w:sz w:val="32"/>
          <w:szCs w:val="32"/>
        </w:rPr>
        <w:t>.可持续影响。（</w:t>
      </w:r>
      <w:r>
        <w:rPr>
          <w:rFonts w:hint="eastAsia" w:ascii="仿宋" w:hAnsi="仿宋" w:eastAsia="仿宋" w:cs="Arial"/>
          <w:b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b/>
          <w:bCs w:val="0"/>
          <w:color w:val="000000"/>
          <w:kern w:val="0"/>
          <w:sz w:val="32"/>
          <w:szCs w:val="32"/>
        </w:rPr>
        <w:t>0分）</w:t>
      </w:r>
    </w:p>
    <w:p w14:paraId="366AD31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先后设立10余个社区教育教学点覆盖群众6万余人，打造了有温度的“社区课堂”。举办“银龄大讲堂”全省直播，“家门口老年大学”多社区布点。与市教体局联合申办2023年宜春市全民终身学习活动周，选取推介项目荣获2023年度全国、全省“百姓学习之星”、江西省新时代“终身学习品牌项目”荣誉。积极对外宣传学校特点亮点工作和典型经验做法，调研文章《让学习成为一种生活方式——基于我市社区教育发展的思考》在《参阅文件》刊登，获市长谭赣明、政协主席袁川和宣传部部长方艳茹肯定性批示批示。全面深化改革典型案例《宜春开放大学创新建立社区教育机制打造群众家门口的“幸福课堂”》刊发于《宜春改革动态》第47期。学校获评江西省高校继续教育最具社会影响力院校。该项指标得10分。</w:t>
      </w:r>
    </w:p>
    <w:p w14:paraId="5BACDC56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02" w:firstLineChars="200"/>
        <w:textAlignment w:val="auto"/>
        <w:rPr>
          <w:rFonts w:hint="eastAsia" w:ascii="仿宋" w:hAnsi="仿宋" w:eastAsia="仿宋" w:cs="Arial"/>
          <w:b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Arial"/>
          <w:b/>
          <w:bCs w:val="0"/>
          <w:color w:val="000000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Arial"/>
          <w:b/>
          <w:bCs w:val="0"/>
          <w:color w:val="000000"/>
          <w:kern w:val="0"/>
          <w:sz w:val="30"/>
          <w:szCs w:val="30"/>
        </w:rPr>
        <w:t>社会满意度方面（10分）</w:t>
      </w:r>
    </w:p>
    <w:p w14:paraId="4D0098D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我校按国家开放大学和江西省开放大学的要求，认真开展用人单位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及学生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满意问卷，满意率9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%以上。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该项指标得10分。</w:t>
      </w:r>
    </w:p>
    <w:p w14:paraId="58B488B4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  <w:t>五、偏离绩效目标的原因和改进措施</w:t>
      </w:r>
    </w:p>
    <w:p w14:paraId="71B3045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资金执行率指标偏差原因:资金测算考虑不科学,准确性不足。</w:t>
      </w:r>
    </w:p>
    <w:p w14:paraId="116D235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改进措施:科学合理编制预算,加强科学分析,准确预测,提高预算编制的准确性。</w:t>
      </w:r>
    </w:p>
    <w:p w14:paraId="105DA6D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40"/>
          <w:lang w:val="en-US" w:eastAsia="zh-CN"/>
        </w:rPr>
        <w:t>六、绩效自评结果拟应用和公开情况</w:t>
      </w:r>
    </w:p>
    <w:p w14:paraId="5AB84C1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1、根据此次项目支出绩效自评中发现的问题，提出改进措施，对相应问题整改落实到位。</w:t>
      </w:r>
    </w:p>
    <w:p w14:paraId="2195639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2、此次项目支出绩效自评材料及支出绩效报告将报送财政局，按规定公开。</w:t>
      </w:r>
    </w:p>
    <w:p w14:paraId="5DCBF47D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4D3CD4"/>
    <w:multiLevelType w:val="singleLevel"/>
    <w:tmpl w:val="B34D3C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YThkM2FmYTg0ZjkxMTU0MGNkOGExNWEwYzNhM2QifQ=="/>
  </w:docVars>
  <w:rsids>
    <w:rsidRoot w:val="00000000"/>
    <w:rsid w:val="00C170B7"/>
    <w:rsid w:val="0C724711"/>
    <w:rsid w:val="0D7E2F4D"/>
    <w:rsid w:val="1F773034"/>
    <w:rsid w:val="30603319"/>
    <w:rsid w:val="30D675AD"/>
    <w:rsid w:val="335D40AB"/>
    <w:rsid w:val="39EA72E1"/>
    <w:rsid w:val="3BE12F0C"/>
    <w:rsid w:val="3CC638A0"/>
    <w:rsid w:val="4D605FFE"/>
    <w:rsid w:val="55A05B24"/>
    <w:rsid w:val="56916B4C"/>
    <w:rsid w:val="5E421FCF"/>
    <w:rsid w:val="689848E6"/>
    <w:rsid w:val="74B82A61"/>
    <w:rsid w:val="76D233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15"/>
    <w:autoRedefine/>
    <w:qFormat/>
    <w:uiPriority w:val="0"/>
    <w:pPr>
      <w:keepNext/>
      <w:keepLines/>
      <w:spacing w:before="120" w:after="120" w:line="360" w:lineRule="auto"/>
      <w:jc w:val="left"/>
      <w:outlineLvl w:val="2"/>
    </w:pPr>
    <w:rPr>
      <w:rFonts w:ascii="Times New Roman" w:hAnsi="Times New Roman" w:eastAsia="仿宋"/>
      <w:b/>
      <w:bCs/>
      <w:kern w:val="0"/>
      <w:sz w:val="20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line="580" w:lineRule="exact"/>
      <w:ind w:firstLine="600"/>
    </w:pPr>
    <w:rPr>
      <w:rFonts w:ascii="仿宋_GB2312" w:eastAsia="仿宋_GB2312"/>
      <w:sz w:val="30"/>
      <w:szCs w:val="30"/>
    </w:rPr>
  </w:style>
  <w:style w:type="paragraph" w:styleId="5">
    <w:name w:val="caption"/>
    <w:basedOn w:val="1"/>
    <w:next w:val="1"/>
    <w:autoRedefine/>
    <w:qFormat/>
    <w:uiPriority w:val="0"/>
    <w:rPr>
      <w:rFonts w:ascii="Arial" w:hAnsi="Arial" w:eastAsia="黑体"/>
      <w:sz w:val="20"/>
    </w:rPr>
  </w:style>
  <w:style w:type="paragraph" w:styleId="6">
    <w:name w:val="Body Text"/>
    <w:basedOn w:val="1"/>
    <w:next w:val="7"/>
    <w:autoRedefine/>
    <w:qFormat/>
    <w:uiPriority w:val="0"/>
    <w:pPr>
      <w:spacing w:after="120" w:afterLines="0" w:afterAutospacing="0"/>
    </w:pPr>
  </w:style>
  <w:style w:type="paragraph" w:styleId="7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仿宋_GB2312" w:cs="Times New Roman"/>
      <w:sz w:val="32"/>
    </w:rPr>
  </w:style>
  <w:style w:type="paragraph" w:styleId="8">
    <w:name w:val="Body Text 2"/>
    <w:basedOn w:val="1"/>
    <w:autoRedefine/>
    <w:qFormat/>
    <w:uiPriority w:val="0"/>
    <w:pPr>
      <w:spacing w:before="100" w:beforeAutospacing="1" w:after="120" w:line="480" w:lineRule="auto"/>
    </w:p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FollowedHyperlink"/>
    <w:basedOn w:val="11"/>
    <w:autoRedefine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styleId="13">
    <w:name w:val="Hyperlink"/>
    <w:basedOn w:val="11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4">
    <w:name w:val="NormalCharacter"/>
    <w:basedOn w:val="11"/>
    <w:autoRedefine/>
    <w:semiHidden/>
    <w:qFormat/>
    <w:uiPriority w:val="99"/>
  </w:style>
  <w:style w:type="character" w:customStyle="1" w:styleId="15">
    <w:name w:val="标题 3 Char"/>
    <w:link w:val="4"/>
    <w:autoRedefine/>
    <w:qFormat/>
    <w:uiPriority w:val="0"/>
    <w:rPr>
      <w:rFonts w:ascii="Times New Roman" w:hAnsi="Times New Roman" w:eastAsia="仿宋"/>
      <w:b/>
      <w:bCs/>
      <w:kern w:val="0"/>
      <w:sz w:val="2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3437</Words>
  <Characters>3618</Characters>
  <Lines>1</Lines>
  <Paragraphs>1</Paragraphs>
  <TotalTime>6</TotalTime>
  <ScaleCrop>false</ScaleCrop>
  <LinksUpToDate>false</LinksUpToDate>
  <CharactersWithSpaces>3619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2023-02-17T07:44:00Z</dcterms:created>
  <dc:creator>admin</dc:creator>
  <cp:lastModifiedBy>Qww</cp:lastModifiedBy>
  <dcterms:modified xsi:type="dcterms:W3CDTF">2024-10-18T08:21:11Z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2DE88FC575434C3F9E8C92E833B05EEC_13</vt:lpwstr>
  </property>
</Properties>
</file>